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660" w:lineRule="exact"/>
        <w:ind w:left="0" w:leftChars="0"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中共天水市委党校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2018年度招标课题指南</w:t>
      </w:r>
    </w:p>
    <w:p>
      <w:pPr>
        <w:adjustRightInd w:val="0"/>
        <w:snapToGrid w:val="0"/>
        <w:ind w:firstLine="646"/>
        <w:jc w:val="both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校级招标课题题目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1、关中平原城市群发展战略视域下的天水城市发展研究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2、深化供给侧结构性改革与天水产业结构调整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3、天水市县区政府加快“放管服”改革与优化营商环境研究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、天水市健全科技成果转化激励机制研究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5、天水市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乡村振兴战略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与县域经济发展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6、天水市农村精神扶贫问题研究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新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时代天水市建立领导干部干事创业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激励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机制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eastAsia="zh-CN"/>
        </w:rPr>
        <w:t>容错纠错</w:t>
      </w: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  <w:t>机制研究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8、社会主义核心价值观与天水国家级文明城市精神研究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9、天水市近年来引进高层次人才实证研究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10、天水市五大文化深度挖掘开发研究</w:t>
      </w:r>
    </w:p>
    <w:p>
      <w:pPr>
        <w:widowControl w:val="0"/>
        <w:wordWrap/>
        <w:adjustRightInd w:val="0"/>
        <w:snapToGrid w:val="0"/>
        <w:spacing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二、2018年市直机关工委委托课题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1、转变机关工作作风改善发展环境研究</w:t>
      </w:r>
    </w:p>
    <w:p>
      <w:pPr>
        <w:widowControl w:val="0"/>
        <w:shd w:val="solid" w:color="FFFFFF" w:fill="auto"/>
        <w:wordWrap/>
        <w:autoSpaceDN w:val="0"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3E3E3E"/>
          <w:sz w:val="32"/>
          <w:szCs w:val="32"/>
          <w:shd w:val="clear" w:color="auto" w:fill="FFFFFF"/>
          <w:lang w:val="en-US" w:eastAsia="zh-CN"/>
        </w:rPr>
        <w:t>2、加强机关党的政治建设研究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6048E"/>
    <w:rsid w:val="293604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2018-07-05T08:42:00Z</dcterms:created>
  <dc:creator>半生何求</dc:creator>
  <cp:lastModifiedBy>半生何求</cp:lastModifiedBy>
  <dcterms:modified xsi:type="dcterms:W3CDTF">2018-07-05T08:43:02Z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